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BE" w:rsidRPr="00763EFD" w:rsidRDefault="00AA26A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Приложение 5</w:t>
      </w:r>
      <w:r w:rsidRPr="00763EFD">
        <w:rPr>
          <w:lang w:val="ru-RU"/>
        </w:rPr>
        <w:br/>
      </w: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9D66D4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9D66D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9D66D4">
        <w:rPr>
          <w:rFonts w:hAnsi="Times New Roman" w:cs="Times New Roman"/>
          <w:color w:val="000000"/>
          <w:sz w:val="24"/>
          <w:szCs w:val="24"/>
          <w:lang w:val="ru-RU"/>
        </w:rPr>
        <w:t>214/1</w:t>
      </w:r>
    </w:p>
    <w:p w:rsidR="00CA65BE" w:rsidRPr="00763EFD" w:rsidRDefault="00CA65B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65BE" w:rsidRPr="00763EFD" w:rsidRDefault="00AA26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CA65BE" w:rsidRPr="00763EFD" w:rsidRDefault="00CA65B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65BE" w:rsidRPr="00763EFD" w:rsidRDefault="00AA26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которые рекомендованы ФНС.</w:t>
      </w:r>
    </w:p>
    <w:p w:rsidR="00CA65BE" w:rsidRDefault="00AA26A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Самостоятельно разработанные формы:</w:t>
      </w:r>
    </w:p>
    <w:p w:rsidR="00CA65BE" w:rsidRPr="00763EFD" w:rsidRDefault="00AA26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63EFD">
        <w:rPr>
          <w:rFonts w:hAnsi="Times New Roman" w:cs="Times New Roman"/>
          <w:color w:val="000000"/>
          <w:sz w:val="24"/>
          <w:szCs w:val="24"/>
          <w:lang w:val="ru-RU"/>
        </w:rPr>
        <w:t>Карточка учета работы автомобильной шины;</w:t>
      </w:r>
    </w:p>
    <w:p w:rsidR="00CA65BE" w:rsidRDefault="00AA26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Путевой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легкового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A65BE" w:rsidRDefault="00AA26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Расчетный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листок</w:t>
      </w:r>
      <w:proofErr w:type="spellEnd"/>
      <w:r w:rsidR="00FE313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A65BE" w:rsidRDefault="00CA65BE" w:rsidP="009B11C3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CA65BE" w:rsidRDefault="00CA65B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E3131" w:rsidRPr="00FE3131" w:rsidRDefault="00FE313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65BE" w:rsidRPr="00FE3131" w:rsidRDefault="00AA26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E313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Образцы неунифицированных форм первичных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</w:tblGrid>
      <w:tr w:rsidR="00CA65BE" w:rsidRPr="00FE31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65BE" w:rsidRPr="00FE3131" w:rsidRDefault="00CA65B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65BE" w:rsidRPr="00D34E74" w:rsidRDefault="00AA26AB" w:rsidP="00D34E74">
      <w:pPr>
        <w:pStyle w:val="a6"/>
        <w:numPr>
          <w:ilvl w:val="0"/>
          <w:numId w:val="2"/>
        </w:num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D34E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Карточка учета работы  автомобильной шины</w:t>
      </w:r>
    </w:p>
    <w:p w:rsidR="00D34E74" w:rsidRPr="00D34E74" w:rsidRDefault="00D34E74" w:rsidP="00FE3131">
      <w:pPr>
        <w:pStyle w:val="a6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77"/>
      </w:tblGrid>
      <w:tr w:rsidR="00CA65BE" w:rsidRPr="00763EF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CB3396" w:rsidRPr="00CB3396" w:rsidRDefault="00CB3396" w:rsidP="00CB3396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Карточка учета работы автомобильной шины </w:t>
            </w:r>
            <w:r w:rsidR="005A39B4" w:rsidRPr="00D34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</w:p>
          <w:p w:rsidR="00CB3396" w:rsidRPr="00CB3396" w:rsidRDefault="00CB3396" w:rsidP="00CB3396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(новой, восстановительной, прошедшей углубление рисунка протектора нарезкой, бывшей в эксплуатации - нужное подчеркнуть)</w:t>
            </w:r>
            <w:proofErr w:type="gramEnd"/>
          </w:p>
          <w:p w:rsidR="00CB3396" w:rsidRPr="00CB3396" w:rsidRDefault="00CB3396" w:rsidP="00CB3396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Обозначение (размер) шины __________________________________________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Модель шины ______________________________________________________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Сезонность шины ___________________________________________________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Порядковый (заводской) номер________________________________________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 изготовления ___________________________________________________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Эксплуатационная (гарантийная) норма пробега ___________________________</w:t>
            </w:r>
          </w:p>
          <w:p w:rsidR="00CB3396" w:rsidRPr="00CB3396" w:rsidRDefault="00CB3396" w:rsidP="00CB3396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B3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Завод – изготовитель новой шины или шиноремонтное предприятие ____________________</w:t>
            </w:r>
          </w:p>
          <w:p w:rsidR="00CB3396" w:rsidRDefault="00CB3396" w:rsidP="00CB3396">
            <w:pPr>
              <w:spacing w:before="0" w:beforeAutospacing="0" w:after="200" w:afterAutospacing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4E74" w:rsidRPr="00CB3396" w:rsidRDefault="00D34E74" w:rsidP="00CB3396">
            <w:pPr>
              <w:spacing w:before="0" w:beforeAutospacing="0" w:after="200" w:afterAutospacing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26"/>
              <w:gridCol w:w="965"/>
              <w:gridCol w:w="871"/>
              <w:gridCol w:w="646"/>
              <w:gridCol w:w="595"/>
              <w:gridCol w:w="595"/>
              <w:gridCol w:w="1093"/>
              <w:gridCol w:w="1036"/>
              <w:gridCol w:w="1093"/>
              <w:gridCol w:w="797"/>
            </w:tblGrid>
            <w:tr w:rsidR="00CB3396" w:rsidRPr="00CB3396" w:rsidTr="00FE3131">
              <w:tc>
                <w:tcPr>
                  <w:tcW w:w="1326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Марка и модель автомобиля, государственный номер, инвентарный номер</w:t>
                  </w:r>
                </w:p>
              </w:tc>
              <w:tc>
                <w:tcPr>
                  <w:tcW w:w="965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Показания спидометра при установке/ снятии </w:t>
                  </w:r>
                  <w:proofErr w:type="spellStart"/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тыс.км</w:t>
                  </w:r>
                  <w:proofErr w:type="spellEnd"/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</w:tc>
              <w:tc>
                <w:tcPr>
                  <w:tcW w:w="1517" w:type="dxa"/>
                  <w:gridSpan w:val="2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Дата</w:t>
                  </w:r>
                </w:p>
              </w:tc>
              <w:tc>
                <w:tcPr>
                  <w:tcW w:w="2283" w:type="dxa"/>
                  <w:gridSpan w:val="3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Пробег шины, тыс. км</w:t>
                  </w:r>
                </w:p>
              </w:tc>
              <w:tc>
                <w:tcPr>
                  <w:tcW w:w="1036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Техническое состояние шины при установке</w:t>
                  </w:r>
                </w:p>
              </w:tc>
              <w:tc>
                <w:tcPr>
                  <w:tcW w:w="1093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Причины снятия шины с эксплуатации</w:t>
                  </w:r>
                </w:p>
              </w:tc>
              <w:tc>
                <w:tcPr>
                  <w:tcW w:w="797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Подпись водителя</w:t>
                  </w: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установки шины на ходовое или запасное колесо</w:t>
                  </w: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снятие шины</w:t>
                  </w: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месяц и год</w:t>
                  </w: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за месяц</w:t>
                  </w: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CB33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с начала эксплуатации</w:t>
                  </w:r>
                </w:p>
              </w:tc>
              <w:tc>
                <w:tcPr>
                  <w:tcW w:w="103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 w:val="restart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B3396" w:rsidRPr="00CB3396" w:rsidTr="00FE3131">
              <w:tc>
                <w:tcPr>
                  <w:tcW w:w="1326" w:type="dxa"/>
                  <w:vMerge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B3396" w:rsidRPr="00CB3396" w:rsidRDefault="00CB3396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207B0" w:rsidRPr="00CB3396" w:rsidTr="00FE3131">
              <w:tc>
                <w:tcPr>
                  <w:tcW w:w="1326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207B0" w:rsidRPr="00CB3396" w:rsidTr="00FE3131">
              <w:tc>
                <w:tcPr>
                  <w:tcW w:w="1326" w:type="dxa"/>
                </w:tcPr>
                <w:p w:rsidR="00C207B0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6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71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6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36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93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7" w:type="dxa"/>
                </w:tcPr>
                <w:p w:rsidR="00C207B0" w:rsidRPr="00CB3396" w:rsidRDefault="00C207B0" w:rsidP="00CB3396">
                  <w:pPr>
                    <w:spacing w:beforeAutospacing="0" w:afterAutospacing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A65BE" w:rsidRPr="00943251" w:rsidRDefault="00943251" w:rsidP="00943251">
            <w:pPr>
              <w:pStyle w:val="a6"/>
              <w:numPr>
                <w:ilvl w:val="0"/>
                <w:numId w:val="2"/>
              </w:numPr>
              <w:ind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3251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Путевой лист автомобиля</w:t>
            </w:r>
          </w:p>
          <w:p w:rsidR="0018440A" w:rsidRPr="00943251" w:rsidRDefault="0018440A" w:rsidP="00943251">
            <w:pPr>
              <w:pStyle w:val="a6"/>
              <w:ind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585E" w:rsidRDefault="00B0585E">
      <w:pPr>
        <w:rPr>
          <w:lang w:val="ru-RU"/>
        </w:rPr>
      </w:pPr>
      <w:r w:rsidRPr="00B0585E">
        <w:rPr>
          <w:noProof/>
          <w:lang w:val="ru-RU" w:eastAsia="ru-RU"/>
        </w:rPr>
        <w:lastRenderedPageBreak/>
        <w:drawing>
          <wp:inline distT="0" distB="0" distL="0" distR="0" wp14:anchorId="53ADA4B4" wp14:editId="47946222">
            <wp:extent cx="5733963" cy="7439025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43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85E">
        <w:rPr>
          <w:noProof/>
          <w:lang w:val="ru-RU" w:eastAsia="ru-RU"/>
        </w:rPr>
        <w:lastRenderedPageBreak/>
        <w:drawing>
          <wp:inline distT="0" distB="0" distL="0" distR="0" wp14:anchorId="55ADFF6D" wp14:editId="0F2CD7E9">
            <wp:extent cx="5729650" cy="8220075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822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85E" w:rsidRDefault="00B0585E">
      <w:pPr>
        <w:rPr>
          <w:lang w:val="ru-RU"/>
        </w:rPr>
      </w:pPr>
    </w:p>
    <w:p w:rsidR="00CA65BE" w:rsidRDefault="00D52456" w:rsidP="00637FF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</w:t>
      </w:r>
      <w:r w:rsidR="00AA26AB" w:rsidRPr="00637F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637F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Расчетный листок</w:t>
      </w:r>
      <w:r w:rsidR="00AA26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выплатам сотрудникам</w:t>
      </w:r>
    </w:p>
    <w:p w:rsidR="00637FFC" w:rsidRDefault="00637FFC" w:rsidP="00637FFC">
      <w:pPr>
        <w:rPr>
          <w:rFonts w:hAnsi="Times New Roman" w:cs="Times New Roman"/>
          <w:color w:val="000000"/>
          <w:sz w:val="24"/>
          <w:szCs w:val="24"/>
        </w:rPr>
      </w:pPr>
      <w:r w:rsidRPr="00637FFC">
        <w:rPr>
          <w:noProof/>
          <w:lang w:val="ru-RU" w:eastAsia="ru-RU"/>
        </w:rPr>
        <w:drawing>
          <wp:inline distT="0" distB="0" distL="0" distR="0" wp14:anchorId="1649FBCF" wp14:editId="2F4DF144">
            <wp:extent cx="5732145" cy="3239908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23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FF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F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11215D"/>
    <w:multiLevelType w:val="hybridMultilevel"/>
    <w:tmpl w:val="06E8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8440A"/>
    <w:rsid w:val="002B1F5F"/>
    <w:rsid w:val="002D33B1"/>
    <w:rsid w:val="002D3591"/>
    <w:rsid w:val="003514A0"/>
    <w:rsid w:val="00401691"/>
    <w:rsid w:val="004F7E17"/>
    <w:rsid w:val="0054254D"/>
    <w:rsid w:val="005A05CE"/>
    <w:rsid w:val="005A39B4"/>
    <w:rsid w:val="005B6473"/>
    <w:rsid w:val="00637FFC"/>
    <w:rsid w:val="00653AF6"/>
    <w:rsid w:val="006A184F"/>
    <w:rsid w:val="00706BAF"/>
    <w:rsid w:val="00763EFD"/>
    <w:rsid w:val="00943251"/>
    <w:rsid w:val="009B11C3"/>
    <w:rsid w:val="009D66D4"/>
    <w:rsid w:val="00AA26AB"/>
    <w:rsid w:val="00B0585E"/>
    <w:rsid w:val="00B73A5A"/>
    <w:rsid w:val="00BC19D0"/>
    <w:rsid w:val="00BC3B55"/>
    <w:rsid w:val="00C207B0"/>
    <w:rsid w:val="00CA65BE"/>
    <w:rsid w:val="00CB3396"/>
    <w:rsid w:val="00D34E74"/>
    <w:rsid w:val="00D52456"/>
    <w:rsid w:val="00E438A1"/>
    <w:rsid w:val="00E469B2"/>
    <w:rsid w:val="00F01E19"/>
    <w:rsid w:val="00F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B11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1C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B339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34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B11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1C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B339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34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23</cp:revision>
  <dcterms:created xsi:type="dcterms:W3CDTF">2011-11-02T04:15:00Z</dcterms:created>
  <dcterms:modified xsi:type="dcterms:W3CDTF">2024-03-14T04:31:00Z</dcterms:modified>
</cp:coreProperties>
</file>